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0F9B" w14:textId="77777777" w:rsidR="00EB613B" w:rsidRPr="00074D97" w:rsidRDefault="00EB613B" w:rsidP="00EB613B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2985026" wp14:editId="0847BFEA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7C5C" w14:textId="77777777" w:rsidR="00EB613B" w:rsidRPr="006C7FF5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A4FA11A" w14:textId="77777777" w:rsidR="00EB613B" w:rsidRPr="00132179" w:rsidRDefault="00EB613B" w:rsidP="00EB613B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9AA5CD9" w14:textId="77777777" w:rsidR="00A255A6" w:rsidRPr="00A255A6" w:rsidRDefault="00A255A6" w:rsidP="00A255A6">
      <w:pPr>
        <w:ind w:left="-426" w:right="-427"/>
        <w:jc w:val="center"/>
        <w:rPr>
          <w:b/>
          <w:sz w:val="22"/>
          <w:szCs w:val="22"/>
        </w:rPr>
      </w:pPr>
    </w:p>
    <w:p w14:paraId="06983C50" w14:textId="28A40D7D" w:rsidR="007728F6" w:rsidRDefault="00BF2821" w:rsidP="00BF282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METALMECCANICA, VENETO E</w:t>
      </w:r>
      <w:r w:rsidR="00A8604A">
        <w:rPr>
          <w:b/>
          <w:sz w:val="28"/>
          <w:szCs w:val="28"/>
        </w:rPr>
        <w:t>ST: NEL 2024 PRODUZIONE -2,6%.</w:t>
      </w:r>
    </w:p>
    <w:p w14:paraId="583070E0" w14:textId="4FF2387F" w:rsidR="00A83816" w:rsidRDefault="00ED652B" w:rsidP="00BF282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MIOTTO, </w:t>
      </w:r>
      <w:r w:rsidR="00374C9E">
        <w:rPr>
          <w:b/>
          <w:sz w:val="28"/>
          <w:szCs w:val="28"/>
        </w:rPr>
        <w:t>«</w:t>
      </w:r>
      <w:r w:rsidR="00A7294C">
        <w:rPr>
          <w:b/>
          <w:caps/>
          <w:sz w:val="28"/>
          <w:szCs w:val="28"/>
        </w:rPr>
        <w:t>è TEMPO DI PASSARE DAL CONFLITTO</w:t>
      </w:r>
      <w:r w:rsidR="00A83816">
        <w:rPr>
          <w:b/>
          <w:caps/>
          <w:sz w:val="28"/>
          <w:szCs w:val="28"/>
        </w:rPr>
        <w:t xml:space="preserve"> </w:t>
      </w:r>
      <w:r w:rsidR="00A7294C">
        <w:rPr>
          <w:b/>
          <w:caps/>
          <w:sz w:val="28"/>
          <w:szCs w:val="28"/>
        </w:rPr>
        <w:t>AL DIALOGO</w:t>
      </w:r>
    </w:p>
    <w:p w14:paraId="5671F970" w14:textId="04A67695" w:rsidR="006F738B" w:rsidRDefault="00A83816" w:rsidP="00BF2821">
      <w:pPr>
        <w:ind w:right="-1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PER IL RINNOVO DEL CONTRATTO</w:t>
      </w:r>
      <w:r w:rsidR="00374C9E">
        <w:rPr>
          <w:b/>
          <w:sz w:val="28"/>
          <w:szCs w:val="28"/>
        </w:rPr>
        <w:t>»</w:t>
      </w:r>
    </w:p>
    <w:p w14:paraId="704F7D1B" w14:textId="79CBA859" w:rsidR="00EB613B" w:rsidRPr="00F642A4" w:rsidRDefault="00EB613B" w:rsidP="00BF2821">
      <w:pPr>
        <w:tabs>
          <w:tab w:val="left" w:pos="-426"/>
        </w:tabs>
        <w:ind w:right="-1"/>
        <w:jc w:val="center"/>
        <w:rPr>
          <w:b/>
          <w:sz w:val="16"/>
          <w:szCs w:val="16"/>
        </w:rPr>
      </w:pPr>
    </w:p>
    <w:p w14:paraId="6A6EA8B4" w14:textId="56D802C2" w:rsidR="00A83816" w:rsidRPr="00BF2821" w:rsidRDefault="00A83816" w:rsidP="00BF2821">
      <w:pPr>
        <w:tabs>
          <w:tab w:val="left" w:pos="-142"/>
          <w:tab w:val="left" w:pos="9781"/>
        </w:tabs>
        <w:ind w:right="-1"/>
        <w:jc w:val="center"/>
        <w:rPr>
          <w:b/>
          <w:bCs/>
          <w:i/>
          <w:sz w:val="22"/>
          <w:szCs w:val="22"/>
        </w:rPr>
      </w:pPr>
      <w:r w:rsidRPr="00BF2821">
        <w:rPr>
          <w:b/>
          <w:bCs/>
          <w:i/>
          <w:sz w:val="22"/>
          <w:szCs w:val="22"/>
        </w:rPr>
        <w:t>La partecipazione media all’astensione dal lavoro del 28 marzo scorso è stata pari al 20,8% del personale</w:t>
      </w:r>
      <w:r w:rsidR="00BF2821" w:rsidRPr="00BF2821">
        <w:rPr>
          <w:b/>
          <w:bCs/>
          <w:i/>
          <w:sz w:val="22"/>
          <w:szCs w:val="22"/>
        </w:rPr>
        <w:t xml:space="preserve">. </w:t>
      </w:r>
      <w:r w:rsidRPr="00BF2821">
        <w:rPr>
          <w:b/>
          <w:bCs/>
          <w:i/>
          <w:sz w:val="22"/>
          <w:szCs w:val="22"/>
        </w:rPr>
        <w:t>In particolare, è risultata pari al 32% per gli operai e al 4,8% per impiegati e quadri</w:t>
      </w:r>
      <w:r w:rsidR="00C1459B">
        <w:rPr>
          <w:b/>
          <w:bCs/>
          <w:i/>
          <w:sz w:val="22"/>
          <w:szCs w:val="22"/>
        </w:rPr>
        <w:t>.</w:t>
      </w:r>
    </w:p>
    <w:p w14:paraId="7E84DB5B" w14:textId="77777777" w:rsidR="005A1E5A" w:rsidRPr="005A1E5A" w:rsidRDefault="005A1E5A" w:rsidP="005A1E5A">
      <w:pPr>
        <w:tabs>
          <w:tab w:val="left" w:pos="8364"/>
          <w:tab w:val="left" w:pos="9639"/>
        </w:tabs>
        <w:ind w:right="-1"/>
        <w:jc w:val="center"/>
        <w:rPr>
          <w:b/>
          <w:bCs/>
          <w:sz w:val="16"/>
          <w:szCs w:val="16"/>
        </w:rPr>
      </w:pPr>
    </w:p>
    <w:p w14:paraId="5E51A35B" w14:textId="6AB28EC7" w:rsidR="005A1E5A" w:rsidRPr="005A1E5A" w:rsidRDefault="00C1459B" w:rsidP="005A1E5A">
      <w:pPr>
        <w:tabs>
          <w:tab w:val="left" w:pos="8364"/>
          <w:tab w:val="left" w:pos="9639"/>
        </w:tabs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Dal 2</w:t>
      </w:r>
      <w:r w:rsidR="00BE40DD">
        <w:rPr>
          <w:b/>
          <w:bCs/>
          <w:i/>
          <w:iCs/>
          <w:sz w:val="22"/>
          <w:szCs w:val="22"/>
        </w:rPr>
        <w:t xml:space="preserve">008 </w:t>
      </w:r>
      <w:r>
        <w:rPr>
          <w:b/>
          <w:bCs/>
          <w:i/>
          <w:iCs/>
          <w:sz w:val="22"/>
          <w:szCs w:val="22"/>
        </w:rPr>
        <w:t>al 2024 le retribuzioni del settore hanno superato del 10% l’inflazione</w:t>
      </w:r>
    </w:p>
    <w:p w14:paraId="17FEB527" w14:textId="77777777" w:rsidR="00BF2821" w:rsidRDefault="00BF2821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3811F03B" w14:textId="77777777" w:rsidR="005A1E5A" w:rsidRDefault="005A1E5A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327C85A5" w14:textId="71D1C851" w:rsidR="00DB2B7A" w:rsidRDefault="00EB613B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  <w:r w:rsidRPr="00F7096A">
        <w:rPr>
          <w:sz w:val="22"/>
          <w:szCs w:val="22"/>
        </w:rPr>
        <w:t>(</w:t>
      </w:r>
      <w:r w:rsidR="00F14B73">
        <w:rPr>
          <w:sz w:val="22"/>
          <w:szCs w:val="22"/>
        </w:rPr>
        <w:t>Padova-Treviso-Venezia-Rovigo - 11.04.2025</w:t>
      </w:r>
      <w:r w:rsidRPr="00F7096A">
        <w:rPr>
          <w:sz w:val="22"/>
          <w:szCs w:val="22"/>
        </w:rPr>
        <w:t>)</w:t>
      </w:r>
      <w:r w:rsidR="00F14B73">
        <w:rPr>
          <w:sz w:val="22"/>
          <w:szCs w:val="22"/>
        </w:rPr>
        <w:t xml:space="preserve"> - </w:t>
      </w:r>
      <w:r w:rsidR="00B6678B">
        <w:rPr>
          <w:sz w:val="22"/>
          <w:szCs w:val="22"/>
        </w:rPr>
        <w:t>Nel 2024, l’</w:t>
      </w:r>
      <w:r w:rsidR="00B6678B" w:rsidRPr="00B6678B">
        <w:rPr>
          <w:b/>
          <w:bCs/>
          <w:sz w:val="22"/>
          <w:szCs w:val="22"/>
        </w:rPr>
        <w:t>attività produttiva nel settore metalmeccanico</w:t>
      </w:r>
      <w:r w:rsidR="00B6678B" w:rsidRPr="00F14B73">
        <w:rPr>
          <w:b/>
          <w:bCs/>
          <w:sz w:val="22"/>
          <w:szCs w:val="22"/>
        </w:rPr>
        <w:t xml:space="preserve"> del Veneto orientale</w:t>
      </w:r>
      <w:r w:rsidR="00B6678B">
        <w:rPr>
          <w:sz w:val="22"/>
          <w:szCs w:val="22"/>
        </w:rPr>
        <w:t xml:space="preserve"> ha registrato, in media d’anno, u</w:t>
      </w:r>
      <w:r w:rsidR="009630B0">
        <w:rPr>
          <w:sz w:val="22"/>
          <w:szCs w:val="22"/>
        </w:rPr>
        <w:t xml:space="preserve">na </w:t>
      </w:r>
      <w:r w:rsidR="009630B0" w:rsidRPr="009630B0">
        <w:rPr>
          <w:b/>
          <w:bCs/>
          <w:sz w:val="22"/>
          <w:szCs w:val="22"/>
        </w:rPr>
        <w:t>contrazione del -2,6%</w:t>
      </w:r>
      <w:r w:rsidR="00DB2B7A" w:rsidRPr="00DB2B7A">
        <w:rPr>
          <w:sz w:val="22"/>
          <w:szCs w:val="22"/>
        </w:rPr>
        <w:t xml:space="preserve">, </w:t>
      </w:r>
      <w:r w:rsidR="009630B0">
        <w:rPr>
          <w:sz w:val="22"/>
          <w:szCs w:val="22"/>
        </w:rPr>
        <w:t>più che doppia rispetto all’industria in generale (-1,2%)</w:t>
      </w:r>
      <w:r w:rsidR="00DB2B7A">
        <w:rPr>
          <w:sz w:val="22"/>
          <w:szCs w:val="22"/>
        </w:rPr>
        <w:t xml:space="preserve">. Arretrano anche </w:t>
      </w:r>
      <w:r w:rsidR="00DB2B7A" w:rsidRPr="00DB2B7A">
        <w:rPr>
          <w:b/>
          <w:bCs/>
          <w:sz w:val="22"/>
          <w:szCs w:val="22"/>
        </w:rPr>
        <w:t>fatturato Italia</w:t>
      </w:r>
      <w:r w:rsidR="00DB2B7A">
        <w:rPr>
          <w:sz w:val="22"/>
          <w:szCs w:val="22"/>
        </w:rPr>
        <w:t xml:space="preserve"> (-3,0%) ed </w:t>
      </w:r>
      <w:r w:rsidR="00DB2B7A" w:rsidRPr="00DB2B7A">
        <w:rPr>
          <w:b/>
          <w:bCs/>
          <w:sz w:val="22"/>
          <w:szCs w:val="22"/>
        </w:rPr>
        <w:t>estero</w:t>
      </w:r>
      <w:r w:rsidR="00DB2B7A">
        <w:rPr>
          <w:sz w:val="22"/>
          <w:szCs w:val="22"/>
        </w:rPr>
        <w:t xml:space="preserve"> (-2,5%), in particolare verso i Paesi UE (-4,0%). </w:t>
      </w:r>
      <w:r w:rsidR="009630B0">
        <w:rPr>
          <w:sz w:val="22"/>
          <w:szCs w:val="22"/>
        </w:rPr>
        <w:t>Il</w:t>
      </w:r>
      <w:r w:rsidR="001B7E5F">
        <w:rPr>
          <w:sz w:val="22"/>
          <w:szCs w:val="22"/>
        </w:rPr>
        <w:t xml:space="preserve"> </w:t>
      </w:r>
      <w:r w:rsidR="009630B0">
        <w:rPr>
          <w:sz w:val="22"/>
          <w:szCs w:val="22"/>
        </w:rPr>
        <w:t>metalmeccanico ha pagato una serie di fattori, tra c</w:t>
      </w:r>
      <w:r w:rsidR="00F14B73">
        <w:rPr>
          <w:sz w:val="22"/>
          <w:szCs w:val="22"/>
        </w:rPr>
        <w:t xml:space="preserve">ui la debolezza del </w:t>
      </w:r>
      <w:r w:rsidR="009630B0">
        <w:rPr>
          <w:sz w:val="22"/>
          <w:szCs w:val="22"/>
        </w:rPr>
        <w:t>manifatturiero</w:t>
      </w:r>
      <w:r w:rsidR="00F14B73">
        <w:rPr>
          <w:sz w:val="22"/>
          <w:szCs w:val="22"/>
        </w:rPr>
        <w:t xml:space="preserve"> </w:t>
      </w:r>
      <w:r w:rsidR="009630B0">
        <w:rPr>
          <w:sz w:val="22"/>
          <w:szCs w:val="22"/>
        </w:rPr>
        <w:t>a livello mondiale, l</w:t>
      </w:r>
      <w:r w:rsidR="00F14B73">
        <w:rPr>
          <w:sz w:val="22"/>
          <w:szCs w:val="22"/>
        </w:rPr>
        <w:t>a recessione della Germania, principale partner commerciale per l’industria locale, le rinnovate tensioni sul p</w:t>
      </w:r>
      <w:r w:rsidR="00211876">
        <w:rPr>
          <w:sz w:val="22"/>
          <w:szCs w:val="22"/>
        </w:rPr>
        <w:t>rezzo del gas e dell’e</w:t>
      </w:r>
      <w:r w:rsidR="00DB2B7A">
        <w:rPr>
          <w:sz w:val="22"/>
          <w:szCs w:val="22"/>
        </w:rPr>
        <w:t>nergia. Sulle prospettive pesa l’elevata incertezza sui dazi USA, che frena scambi e investimenti.</w:t>
      </w:r>
    </w:p>
    <w:p w14:paraId="789505B9" w14:textId="77777777" w:rsidR="00F14B73" w:rsidRDefault="00F14B73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6E6973AF" w14:textId="095122D0" w:rsidR="00056516" w:rsidRDefault="00E55323" w:rsidP="00056DEF">
      <w:pPr>
        <w:tabs>
          <w:tab w:val="left" w:pos="8364"/>
          <w:tab w:val="left" w:pos="9639"/>
        </w:tabs>
        <w:ind w:right="-1"/>
        <w:jc w:val="both"/>
        <w:rPr>
          <w:i/>
          <w:iCs/>
          <w:sz w:val="22"/>
          <w:szCs w:val="22"/>
        </w:rPr>
      </w:pPr>
      <w:r w:rsidRPr="00E55323">
        <w:rPr>
          <w:i/>
          <w:iCs/>
          <w:sz w:val="22"/>
          <w:szCs w:val="22"/>
        </w:rPr>
        <w:t>«</w:t>
      </w:r>
      <w:r w:rsidR="00211876">
        <w:rPr>
          <w:i/>
          <w:iCs/>
          <w:sz w:val="22"/>
          <w:szCs w:val="22"/>
        </w:rPr>
        <w:t>I</w:t>
      </w:r>
      <w:r w:rsidR="004116E9">
        <w:rPr>
          <w:i/>
          <w:iCs/>
          <w:sz w:val="22"/>
          <w:szCs w:val="22"/>
        </w:rPr>
        <w:t>n uno scenario così</w:t>
      </w:r>
      <w:r w:rsidR="006A5A6E">
        <w:rPr>
          <w:i/>
          <w:iCs/>
          <w:sz w:val="22"/>
          <w:szCs w:val="22"/>
        </w:rPr>
        <w:t xml:space="preserve"> critico e incerto </w:t>
      </w:r>
      <w:r w:rsidR="004116E9">
        <w:rPr>
          <w:i/>
          <w:iCs/>
          <w:sz w:val="22"/>
          <w:szCs w:val="22"/>
        </w:rPr>
        <w:t xml:space="preserve">con stime di crescita nel 2025 dimezzate </w:t>
      </w:r>
      <w:r w:rsidRPr="00E55323">
        <w:rPr>
          <w:sz w:val="22"/>
          <w:szCs w:val="22"/>
        </w:rPr>
        <w:t xml:space="preserve">- commenta </w:t>
      </w:r>
      <w:r w:rsidRPr="00E55323">
        <w:rPr>
          <w:b/>
          <w:bCs/>
          <w:sz w:val="22"/>
          <w:szCs w:val="22"/>
        </w:rPr>
        <w:t>Alessia Miotto</w:t>
      </w:r>
      <w:r w:rsidRPr="00E55323">
        <w:rPr>
          <w:sz w:val="22"/>
          <w:szCs w:val="22"/>
        </w:rPr>
        <w:t xml:space="preserve">, </w:t>
      </w:r>
      <w:r w:rsidRPr="00056516">
        <w:rPr>
          <w:b/>
          <w:bCs/>
          <w:sz w:val="22"/>
          <w:szCs w:val="22"/>
        </w:rPr>
        <w:t>Presidente del Gruppo Metalmeccanico di Confindustria Veneto Est</w:t>
      </w:r>
      <w:r w:rsidRPr="00E55323">
        <w:rPr>
          <w:sz w:val="22"/>
          <w:szCs w:val="22"/>
        </w:rPr>
        <w:t xml:space="preserve"> </w:t>
      </w:r>
      <w:r w:rsidR="004116E9">
        <w:rPr>
          <w:sz w:val="22"/>
          <w:szCs w:val="22"/>
        </w:rPr>
        <w:t xml:space="preserve">- </w:t>
      </w:r>
      <w:r w:rsidR="004116E9" w:rsidRPr="004116E9">
        <w:rPr>
          <w:i/>
          <w:iCs/>
          <w:sz w:val="22"/>
          <w:szCs w:val="22"/>
        </w:rPr>
        <w:t xml:space="preserve">l’Europa e i singoli Paesi devono sviluppare politiche industriali efficaci e coordinate. Le </w:t>
      </w:r>
      <w:r w:rsidR="00056516">
        <w:rPr>
          <w:i/>
          <w:iCs/>
          <w:sz w:val="22"/>
          <w:szCs w:val="22"/>
        </w:rPr>
        <w:t>P</w:t>
      </w:r>
      <w:r w:rsidR="004116E9" w:rsidRPr="004116E9">
        <w:rPr>
          <w:i/>
          <w:iCs/>
          <w:sz w:val="22"/>
          <w:szCs w:val="22"/>
        </w:rPr>
        <w:t xml:space="preserve">arti </w:t>
      </w:r>
      <w:r w:rsidR="00056516">
        <w:rPr>
          <w:i/>
          <w:iCs/>
          <w:sz w:val="22"/>
          <w:szCs w:val="22"/>
        </w:rPr>
        <w:t>S</w:t>
      </w:r>
      <w:r w:rsidR="004116E9" w:rsidRPr="004116E9">
        <w:rPr>
          <w:i/>
          <w:iCs/>
          <w:sz w:val="22"/>
          <w:szCs w:val="22"/>
        </w:rPr>
        <w:t>ociali sono chiamat</w:t>
      </w:r>
      <w:r w:rsidR="00056516">
        <w:rPr>
          <w:i/>
          <w:iCs/>
          <w:sz w:val="22"/>
          <w:szCs w:val="22"/>
        </w:rPr>
        <w:t>e a</w:t>
      </w:r>
      <w:r w:rsidR="001B7E5F">
        <w:rPr>
          <w:i/>
          <w:iCs/>
          <w:sz w:val="22"/>
          <w:szCs w:val="22"/>
        </w:rPr>
        <w:t xml:space="preserve">d </w:t>
      </w:r>
      <w:r w:rsidR="00056516">
        <w:rPr>
          <w:i/>
          <w:iCs/>
          <w:sz w:val="22"/>
          <w:szCs w:val="22"/>
        </w:rPr>
        <w:t>azioni che incidano positivamente sulla competitività delle impres</w:t>
      </w:r>
      <w:r w:rsidR="00BF2821">
        <w:rPr>
          <w:i/>
          <w:iCs/>
          <w:sz w:val="22"/>
          <w:szCs w:val="22"/>
        </w:rPr>
        <w:t xml:space="preserve">e e la tenuta del lavoro, </w:t>
      </w:r>
      <w:r w:rsidR="00056516">
        <w:rPr>
          <w:i/>
          <w:iCs/>
          <w:sz w:val="22"/>
          <w:szCs w:val="22"/>
        </w:rPr>
        <w:t>ora come non mai la priorit</w:t>
      </w:r>
      <w:r w:rsidR="00223FB7">
        <w:rPr>
          <w:i/>
          <w:iCs/>
          <w:sz w:val="22"/>
          <w:szCs w:val="22"/>
        </w:rPr>
        <w:t>à, anche nel nostro territorio. La proclamazione di altri scioperi e</w:t>
      </w:r>
      <w:r w:rsidR="000D5D11">
        <w:rPr>
          <w:i/>
          <w:iCs/>
          <w:sz w:val="22"/>
          <w:szCs w:val="22"/>
        </w:rPr>
        <w:t xml:space="preserve"> </w:t>
      </w:r>
      <w:r w:rsidR="00056516">
        <w:rPr>
          <w:i/>
          <w:iCs/>
          <w:sz w:val="22"/>
          <w:szCs w:val="22"/>
        </w:rPr>
        <w:t>forme</w:t>
      </w:r>
      <w:r w:rsidR="006A5A6E">
        <w:rPr>
          <w:i/>
          <w:iCs/>
          <w:sz w:val="22"/>
          <w:szCs w:val="22"/>
        </w:rPr>
        <w:t xml:space="preserve"> </w:t>
      </w:r>
      <w:r w:rsidR="00056516">
        <w:rPr>
          <w:i/>
          <w:iCs/>
          <w:sz w:val="22"/>
          <w:szCs w:val="22"/>
        </w:rPr>
        <w:t>di conflitto costituisc</w:t>
      </w:r>
      <w:r w:rsidR="006A5A6E">
        <w:rPr>
          <w:i/>
          <w:iCs/>
          <w:sz w:val="22"/>
          <w:szCs w:val="22"/>
        </w:rPr>
        <w:t xml:space="preserve">e invece </w:t>
      </w:r>
      <w:r w:rsidR="00056516">
        <w:rPr>
          <w:i/>
          <w:iCs/>
          <w:sz w:val="22"/>
          <w:szCs w:val="22"/>
        </w:rPr>
        <w:t>un grave danno per tutti, lavoratori e imprese, in una fase in cui dovrebbe prevalere il senso di responsabilità alla luc</w:t>
      </w:r>
      <w:r w:rsidR="000D5D11">
        <w:rPr>
          <w:i/>
          <w:iCs/>
          <w:sz w:val="22"/>
          <w:szCs w:val="22"/>
        </w:rPr>
        <w:t>e dell</w:t>
      </w:r>
      <w:r w:rsidR="006A5A6E">
        <w:rPr>
          <w:i/>
          <w:iCs/>
          <w:sz w:val="22"/>
          <w:szCs w:val="22"/>
        </w:rPr>
        <w:t xml:space="preserve">e forti </w:t>
      </w:r>
      <w:r w:rsidR="000D5D11">
        <w:rPr>
          <w:i/>
          <w:iCs/>
          <w:sz w:val="22"/>
          <w:szCs w:val="22"/>
        </w:rPr>
        <w:t>difficolt</w:t>
      </w:r>
      <w:r w:rsidR="00063578">
        <w:rPr>
          <w:i/>
          <w:iCs/>
          <w:sz w:val="22"/>
          <w:szCs w:val="22"/>
        </w:rPr>
        <w:t>à. Incomprensibile anche la scelt</w:t>
      </w:r>
      <w:r w:rsidR="005A1E5A">
        <w:rPr>
          <w:i/>
          <w:iCs/>
          <w:sz w:val="22"/>
          <w:szCs w:val="22"/>
        </w:rPr>
        <w:t xml:space="preserve">a </w:t>
      </w:r>
      <w:r w:rsidR="00063578">
        <w:rPr>
          <w:i/>
          <w:iCs/>
          <w:sz w:val="22"/>
          <w:szCs w:val="22"/>
        </w:rPr>
        <w:t>di sospendere la sottoscrizione dei piani formativi dei fondi interprofessionali, tenuto conto che la formazione è un a</w:t>
      </w:r>
      <w:r w:rsidR="00C8467E">
        <w:rPr>
          <w:i/>
          <w:iCs/>
          <w:sz w:val="22"/>
          <w:szCs w:val="22"/>
        </w:rPr>
        <w:t xml:space="preserve">sset indispensabile </w:t>
      </w:r>
      <w:r w:rsidR="00A70FB2">
        <w:rPr>
          <w:i/>
          <w:iCs/>
          <w:sz w:val="22"/>
          <w:szCs w:val="22"/>
        </w:rPr>
        <w:t>per le imprese e l’occupabilità delle persone</w:t>
      </w:r>
      <w:r w:rsidR="002C2F3C" w:rsidRPr="00E51D39">
        <w:rPr>
          <w:i/>
          <w:iCs/>
          <w:sz w:val="22"/>
          <w:szCs w:val="22"/>
        </w:rPr>
        <w:t>, sul quale anch</w:t>
      </w:r>
      <w:r w:rsidR="00C1459B">
        <w:rPr>
          <w:i/>
          <w:iCs/>
          <w:sz w:val="22"/>
          <w:szCs w:val="22"/>
        </w:rPr>
        <w:t xml:space="preserve">e il Sindacato </w:t>
      </w:r>
      <w:r w:rsidR="00E51D39">
        <w:rPr>
          <w:i/>
          <w:iCs/>
          <w:sz w:val="22"/>
          <w:szCs w:val="22"/>
        </w:rPr>
        <w:t>almeno fino ad oggi ha puntato molto</w:t>
      </w:r>
      <w:r w:rsidR="00056516">
        <w:rPr>
          <w:i/>
          <w:iCs/>
          <w:sz w:val="22"/>
          <w:szCs w:val="22"/>
        </w:rPr>
        <w:t>»</w:t>
      </w:r>
      <w:r w:rsidR="00056516" w:rsidRPr="00056516">
        <w:rPr>
          <w:sz w:val="22"/>
          <w:szCs w:val="22"/>
        </w:rPr>
        <w:t>.</w:t>
      </w:r>
    </w:p>
    <w:p w14:paraId="3FE58CED" w14:textId="28375131" w:rsidR="00F14B73" w:rsidRDefault="00F14B73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663C185C" w14:textId="1CFB2069" w:rsidR="00E55323" w:rsidRDefault="00223FB7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Premesso il rispetto del diritto di sciopero, sulla base dell’analisi in tutto il territorio di Padova, Treviso, Venezia e Rovigo, </w:t>
      </w:r>
      <w:r w:rsidR="00CE3FEF">
        <w:rPr>
          <w:sz w:val="22"/>
          <w:szCs w:val="22"/>
        </w:rPr>
        <w:t xml:space="preserve">che ha coinvolto un </w:t>
      </w:r>
      <w:r w:rsidR="00CE3FEF" w:rsidRPr="00CE3FEF">
        <w:rPr>
          <w:b/>
          <w:bCs/>
          <w:sz w:val="22"/>
          <w:szCs w:val="22"/>
        </w:rPr>
        <w:t xml:space="preserve">campione di oltre </w:t>
      </w:r>
      <w:r w:rsidR="008652E7" w:rsidRPr="00CE3FEF">
        <w:rPr>
          <w:b/>
          <w:bCs/>
          <w:sz w:val="22"/>
          <w:szCs w:val="22"/>
        </w:rPr>
        <w:t>160 aziende</w:t>
      </w:r>
      <w:r w:rsidR="008652E7">
        <w:rPr>
          <w:sz w:val="22"/>
          <w:szCs w:val="22"/>
        </w:rPr>
        <w:t xml:space="preserve"> delle quattro province che </w:t>
      </w:r>
      <w:r w:rsidR="008652E7" w:rsidRPr="00CE3FEF">
        <w:rPr>
          <w:b/>
          <w:bCs/>
          <w:sz w:val="22"/>
          <w:szCs w:val="22"/>
        </w:rPr>
        <w:t>impiegano oltre 23mila addetti</w:t>
      </w:r>
      <w:r w:rsidR="008652E7">
        <w:rPr>
          <w:sz w:val="22"/>
          <w:szCs w:val="22"/>
        </w:rPr>
        <w:t xml:space="preserve">, risulta che la </w:t>
      </w:r>
      <w:r w:rsidR="008652E7" w:rsidRPr="00211876">
        <w:rPr>
          <w:b/>
          <w:bCs/>
          <w:sz w:val="22"/>
          <w:szCs w:val="22"/>
        </w:rPr>
        <w:t>partecipazione medi</w:t>
      </w:r>
      <w:r>
        <w:rPr>
          <w:b/>
          <w:bCs/>
          <w:sz w:val="22"/>
          <w:szCs w:val="22"/>
        </w:rPr>
        <w:t xml:space="preserve">a effettiva </w:t>
      </w:r>
      <w:r w:rsidR="008652E7" w:rsidRPr="00211876">
        <w:rPr>
          <w:b/>
          <w:bCs/>
          <w:sz w:val="22"/>
          <w:szCs w:val="22"/>
        </w:rPr>
        <w:t>all’astensione dal lavor</w:t>
      </w:r>
      <w:r>
        <w:rPr>
          <w:b/>
          <w:bCs/>
          <w:sz w:val="22"/>
          <w:szCs w:val="22"/>
        </w:rPr>
        <w:t xml:space="preserve">o del 28 marzo </w:t>
      </w:r>
      <w:r w:rsidRPr="00223FB7">
        <w:rPr>
          <w:sz w:val="22"/>
          <w:szCs w:val="22"/>
        </w:rPr>
        <w:t xml:space="preserve">scorso è stata pari al </w:t>
      </w:r>
      <w:r w:rsidR="00F70401" w:rsidRPr="00211876">
        <w:rPr>
          <w:b/>
          <w:bCs/>
          <w:sz w:val="22"/>
          <w:szCs w:val="22"/>
        </w:rPr>
        <w:t>20,8% del personale occupato</w:t>
      </w:r>
      <w:r w:rsidR="00F70401">
        <w:rPr>
          <w:sz w:val="22"/>
          <w:szCs w:val="22"/>
        </w:rPr>
        <w:t>. In particolare, l’</w:t>
      </w:r>
      <w:r w:rsidR="00F70401" w:rsidRPr="00CE3FEF">
        <w:rPr>
          <w:b/>
          <w:bCs/>
          <w:sz w:val="22"/>
          <w:szCs w:val="22"/>
        </w:rPr>
        <w:t xml:space="preserve">astensione è risultata pari al </w:t>
      </w:r>
      <w:r w:rsidR="00211876" w:rsidRPr="00CE3FEF">
        <w:rPr>
          <w:b/>
          <w:bCs/>
          <w:sz w:val="22"/>
          <w:szCs w:val="22"/>
        </w:rPr>
        <w:t>32,06% nella categoria operai e al 4,84% in quella impiegati e quadri</w:t>
      </w:r>
      <w:r w:rsidR="00211876">
        <w:rPr>
          <w:sz w:val="22"/>
          <w:szCs w:val="22"/>
        </w:rPr>
        <w:t>.</w:t>
      </w:r>
    </w:p>
    <w:p w14:paraId="034F66EC" w14:textId="77777777" w:rsidR="00937662" w:rsidRDefault="00937662" w:rsidP="00056DEF">
      <w:pPr>
        <w:tabs>
          <w:tab w:val="left" w:pos="8364"/>
          <w:tab w:val="left" w:pos="9639"/>
        </w:tabs>
        <w:ind w:right="-1"/>
        <w:jc w:val="both"/>
        <w:rPr>
          <w:sz w:val="22"/>
          <w:szCs w:val="22"/>
        </w:rPr>
      </w:pPr>
    </w:p>
    <w:p w14:paraId="6C0717DD" w14:textId="6FE2CD90" w:rsidR="00937662" w:rsidRDefault="00937662" w:rsidP="00937662">
      <w:pPr>
        <w:tabs>
          <w:tab w:val="left" w:pos="8364"/>
          <w:tab w:val="left" w:pos="9639"/>
        </w:tabs>
        <w:ind w:right="-1"/>
        <w:jc w:val="both"/>
        <w:rPr>
          <w:i/>
          <w:iCs/>
          <w:sz w:val="22"/>
        </w:rPr>
      </w:pPr>
      <w:r w:rsidRPr="005F332E">
        <w:rPr>
          <w:i/>
          <w:iCs/>
          <w:sz w:val="22"/>
        </w:rPr>
        <w:t>«</w:t>
      </w:r>
      <w:r w:rsidR="006A5A6E">
        <w:rPr>
          <w:i/>
          <w:iCs/>
          <w:sz w:val="22"/>
        </w:rPr>
        <w:t xml:space="preserve">La proposta di Federmeccanica e </w:t>
      </w:r>
      <w:proofErr w:type="spellStart"/>
      <w:r w:rsidR="006A5A6E">
        <w:rPr>
          <w:i/>
          <w:iCs/>
          <w:sz w:val="22"/>
        </w:rPr>
        <w:t>Assistal</w:t>
      </w:r>
      <w:proofErr w:type="spellEnd"/>
      <w:r w:rsidR="006A5A6E">
        <w:rPr>
          <w:i/>
          <w:iCs/>
          <w:sz w:val="22"/>
        </w:rPr>
        <w:t xml:space="preserve"> per il rinnovo del contratto</w:t>
      </w:r>
      <w:r w:rsidR="006A5A6E" w:rsidRPr="00BF2821">
        <w:rPr>
          <w:sz w:val="22"/>
        </w:rPr>
        <w:t xml:space="preserve"> </w:t>
      </w:r>
      <w:r w:rsidR="00BF2821">
        <w:rPr>
          <w:sz w:val="22"/>
        </w:rPr>
        <w:t xml:space="preserve">- sottolinea </w:t>
      </w:r>
      <w:r w:rsidR="00BF2821" w:rsidRPr="00BF2821">
        <w:rPr>
          <w:b/>
          <w:bCs/>
          <w:sz w:val="22"/>
        </w:rPr>
        <w:t>Miotto</w:t>
      </w:r>
      <w:r w:rsidR="00BF2821" w:rsidRPr="00BF2821">
        <w:rPr>
          <w:sz w:val="22"/>
        </w:rPr>
        <w:t xml:space="preserve"> </w:t>
      </w:r>
      <w:r w:rsidR="000D5D11" w:rsidRPr="00BF2821">
        <w:rPr>
          <w:sz w:val="22"/>
        </w:rPr>
        <w:t>-</w:t>
      </w:r>
      <w:r w:rsidR="006A5A6E" w:rsidRPr="00BF2821">
        <w:rPr>
          <w:sz w:val="22"/>
        </w:rPr>
        <w:t xml:space="preserve"> </w:t>
      </w:r>
      <w:r>
        <w:rPr>
          <w:i/>
          <w:iCs/>
          <w:sz w:val="22"/>
        </w:rPr>
        <w:t>non è “contro” qualcosa o qualcuno, come è stata definit</w:t>
      </w:r>
      <w:r w:rsidR="001B7E5F">
        <w:rPr>
          <w:i/>
          <w:iCs/>
          <w:sz w:val="22"/>
        </w:rPr>
        <w:t>a</w:t>
      </w:r>
      <w:r w:rsidR="000D5D11">
        <w:rPr>
          <w:i/>
          <w:iCs/>
          <w:sz w:val="22"/>
        </w:rPr>
        <w:t xml:space="preserve">, </w:t>
      </w:r>
      <w:r w:rsidR="001B7E5F">
        <w:rPr>
          <w:i/>
          <w:iCs/>
          <w:sz w:val="22"/>
        </w:rPr>
        <w:t>ma è una proposta “per”, per rinnovare il c</w:t>
      </w:r>
      <w:r w:rsidR="000D5D11">
        <w:rPr>
          <w:i/>
          <w:iCs/>
          <w:sz w:val="22"/>
        </w:rPr>
        <w:t xml:space="preserve">ontratto. </w:t>
      </w:r>
      <w:r>
        <w:rPr>
          <w:i/>
          <w:iCs/>
          <w:sz w:val="22"/>
        </w:rPr>
        <w:t>È una risposta alle richieste del Sindacato, ai bisogni delle lavoratrici e dei lavoratori, a</w:t>
      </w:r>
      <w:r w:rsidR="00223FB7">
        <w:rPr>
          <w:i/>
          <w:iCs/>
          <w:sz w:val="22"/>
        </w:rPr>
        <w:t xml:space="preserve">lle esigenze delle imprese. </w:t>
      </w:r>
      <w:r>
        <w:rPr>
          <w:i/>
          <w:iCs/>
          <w:sz w:val="22"/>
        </w:rPr>
        <w:t xml:space="preserve">Una proposta che riconosce benefici aggiuntivi rispetto all’adeguamento </w:t>
      </w:r>
      <w:r w:rsidRPr="00C1459B">
        <w:rPr>
          <w:i/>
          <w:iCs/>
          <w:sz w:val="22"/>
        </w:rPr>
        <w:t>all’inflazione,</w:t>
      </w:r>
      <w:r w:rsidR="005A1E5A" w:rsidRPr="00C1459B">
        <w:rPr>
          <w:i/>
          <w:iCs/>
          <w:sz w:val="22"/>
        </w:rPr>
        <w:t xml:space="preserve"> come, </w:t>
      </w:r>
      <w:r w:rsidR="002C2F3C" w:rsidRPr="00C1459B">
        <w:rPr>
          <w:i/>
          <w:iCs/>
          <w:sz w:val="22"/>
        </w:rPr>
        <w:t>ad esempio, il welfar</w:t>
      </w:r>
      <w:r w:rsidR="002C0F53">
        <w:rPr>
          <w:i/>
          <w:iCs/>
          <w:sz w:val="22"/>
        </w:rPr>
        <w:t xml:space="preserve">e. </w:t>
      </w:r>
      <w:r w:rsidR="002C2F3C" w:rsidRPr="00C1459B">
        <w:rPr>
          <w:i/>
          <w:iCs/>
          <w:sz w:val="22"/>
        </w:rPr>
        <w:t>A questa propost</w:t>
      </w:r>
      <w:r w:rsidR="005A1E5A" w:rsidRPr="00C1459B">
        <w:rPr>
          <w:i/>
          <w:iCs/>
          <w:sz w:val="22"/>
        </w:rPr>
        <w:t xml:space="preserve">a, però, </w:t>
      </w:r>
      <w:r w:rsidRPr="00C1459B">
        <w:rPr>
          <w:i/>
          <w:iCs/>
          <w:sz w:val="22"/>
        </w:rPr>
        <w:t>il Sindacato ha r</w:t>
      </w:r>
      <w:r w:rsidR="00E77636">
        <w:rPr>
          <w:i/>
          <w:iCs/>
          <w:sz w:val="22"/>
        </w:rPr>
        <w:t xml:space="preserve">isposto interrompendo la trattativa </w:t>
      </w:r>
      <w:r w:rsidR="002C2F3C" w:rsidRPr="00C1459B">
        <w:rPr>
          <w:i/>
          <w:iCs/>
          <w:sz w:val="22"/>
        </w:rPr>
        <w:t>e dando inizio ad una fase conflittuale che non fa bene a nessuno</w:t>
      </w:r>
      <w:r w:rsidR="006A5A6E" w:rsidRPr="00C1459B">
        <w:rPr>
          <w:i/>
          <w:iCs/>
          <w:sz w:val="22"/>
        </w:rPr>
        <w:t>»</w:t>
      </w:r>
      <w:r>
        <w:rPr>
          <w:i/>
          <w:iCs/>
          <w:sz w:val="22"/>
        </w:rPr>
        <w:t>.</w:t>
      </w:r>
    </w:p>
    <w:p w14:paraId="132ED9B2" w14:textId="77777777" w:rsidR="002C0F53" w:rsidRDefault="002C0F53" w:rsidP="00937662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2FD7915E" w14:textId="5798923C" w:rsidR="00B53897" w:rsidRPr="006A5A6E" w:rsidRDefault="000D5D11" w:rsidP="00937662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 w:rsidRPr="006A5A6E">
        <w:rPr>
          <w:sz w:val="22"/>
        </w:rPr>
        <w:t>Dal 2008 al 2024</w:t>
      </w:r>
      <w:r w:rsidR="008C48C2">
        <w:rPr>
          <w:sz w:val="22"/>
        </w:rPr>
        <w:t xml:space="preserve">, secondo i dati Ilo (Organizzazione Internazionale del Lavoro), </w:t>
      </w:r>
      <w:r w:rsidR="00937662" w:rsidRPr="006A5A6E">
        <w:rPr>
          <w:sz w:val="22"/>
        </w:rPr>
        <w:t xml:space="preserve">le </w:t>
      </w:r>
      <w:r w:rsidR="00937662" w:rsidRPr="00BF2821">
        <w:rPr>
          <w:b/>
          <w:bCs/>
          <w:sz w:val="22"/>
        </w:rPr>
        <w:t>retribu</w:t>
      </w:r>
      <w:r w:rsidR="005A1E5A">
        <w:rPr>
          <w:b/>
          <w:bCs/>
          <w:sz w:val="22"/>
        </w:rPr>
        <w:t xml:space="preserve">zioni </w:t>
      </w:r>
      <w:r w:rsidR="00937662" w:rsidRPr="00BF2821">
        <w:rPr>
          <w:b/>
          <w:bCs/>
          <w:sz w:val="22"/>
        </w:rPr>
        <w:t>nella metalmeccanic</w:t>
      </w:r>
      <w:r w:rsidR="00C1459B">
        <w:rPr>
          <w:b/>
          <w:bCs/>
          <w:sz w:val="22"/>
        </w:rPr>
        <w:t>a s</w:t>
      </w:r>
      <w:r w:rsidR="005A1E5A" w:rsidRPr="00C1459B">
        <w:rPr>
          <w:b/>
          <w:bCs/>
          <w:sz w:val="22"/>
        </w:rPr>
        <w:t>ono cresciut</w:t>
      </w:r>
      <w:r w:rsidR="002C0F53">
        <w:rPr>
          <w:b/>
          <w:bCs/>
          <w:sz w:val="22"/>
        </w:rPr>
        <w:t xml:space="preserve">e </w:t>
      </w:r>
      <w:r w:rsidR="005A1E5A" w:rsidRPr="00C1459B">
        <w:rPr>
          <w:b/>
          <w:bCs/>
          <w:sz w:val="22"/>
        </w:rPr>
        <w:t>del 10% più dell’inflazione</w:t>
      </w:r>
      <w:r w:rsidR="005A1E5A">
        <w:rPr>
          <w:sz w:val="22"/>
        </w:rPr>
        <w:t xml:space="preserve">. </w:t>
      </w:r>
      <w:r w:rsidRPr="006A5A6E">
        <w:rPr>
          <w:sz w:val="22"/>
        </w:rPr>
        <w:t xml:space="preserve">A </w:t>
      </w:r>
      <w:r w:rsidR="00937662" w:rsidRPr="006A5A6E">
        <w:rPr>
          <w:sz w:val="22"/>
        </w:rPr>
        <w:t>dicembre 2</w:t>
      </w:r>
      <w:r w:rsidR="006A5A6E">
        <w:rPr>
          <w:sz w:val="22"/>
        </w:rPr>
        <w:t>024, sulla base</w:t>
      </w:r>
      <w:r w:rsidR="008C48C2">
        <w:rPr>
          <w:sz w:val="22"/>
        </w:rPr>
        <w:t xml:space="preserve"> </w:t>
      </w:r>
      <w:r w:rsidR="006A5A6E">
        <w:rPr>
          <w:sz w:val="22"/>
        </w:rPr>
        <w:t xml:space="preserve">dati Istat, </w:t>
      </w:r>
      <w:r w:rsidR="00937662" w:rsidRPr="006A5A6E">
        <w:rPr>
          <w:sz w:val="22"/>
        </w:rPr>
        <w:t>risulta che in un anno</w:t>
      </w:r>
      <w:r w:rsidRPr="006A5A6E">
        <w:rPr>
          <w:sz w:val="22"/>
        </w:rPr>
        <w:t xml:space="preserve"> </w:t>
      </w:r>
      <w:r w:rsidR="00937662" w:rsidRPr="006A5A6E">
        <w:rPr>
          <w:sz w:val="22"/>
        </w:rPr>
        <w:t>sono cresciute del 6,5% rispetto al 5,4% per l’industria in senso stretto</w:t>
      </w:r>
      <w:r w:rsidR="00372740" w:rsidRPr="006A5A6E">
        <w:rPr>
          <w:sz w:val="22"/>
        </w:rPr>
        <w:t>. Gli adeguamenti</w:t>
      </w:r>
      <w:r w:rsidRPr="006A5A6E">
        <w:rPr>
          <w:sz w:val="22"/>
        </w:rPr>
        <w:t xml:space="preserve"> </w:t>
      </w:r>
      <w:r w:rsidR="00372740" w:rsidRPr="006A5A6E">
        <w:rPr>
          <w:sz w:val="22"/>
        </w:rPr>
        <w:t>riconosciut</w:t>
      </w:r>
      <w:r w:rsidR="00A70FB2">
        <w:rPr>
          <w:sz w:val="22"/>
        </w:rPr>
        <w:t xml:space="preserve">i nel periodo 2021-2024 </w:t>
      </w:r>
      <w:r w:rsidR="00372740" w:rsidRPr="006A5A6E">
        <w:rPr>
          <w:sz w:val="22"/>
        </w:rPr>
        <w:t>non hanno precedent</w:t>
      </w:r>
      <w:r w:rsidRPr="006A5A6E">
        <w:rPr>
          <w:sz w:val="22"/>
        </w:rPr>
        <w:t>i né egual</w:t>
      </w:r>
      <w:r w:rsidR="00B53897" w:rsidRPr="006A5A6E">
        <w:rPr>
          <w:sz w:val="22"/>
        </w:rPr>
        <w:t xml:space="preserve">i in altri comparti </w:t>
      </w:r>
      <w:r w:rsidRPr="006A5A6E">
        <w:rPr>
          <w:sz w:val="22"/>
        </w:rPr>
        <w:t>con</w:t>
      </w:r>
      <w:r w:rsidR="00B53897" w:rsidRPr="006A5A6E">
        <w:rPr>
          <w:sz w:val="22"/>
        </w:rPr>
        <w:t xml:space="preserve"> </w:t>
      </w:r>
      <w:r w:rsidR="00372740" w:rsidRPr="006A5A6E">
        <w:rPr>
          <w:sz w:val="22"/>
        </w:rPr>
        <w:t>circa 310 euro l</w:t>
      </w:r>
      <w:r w:rsidR="00B53897" w:rsidRPr="006A5A6E">
        <w:rPr>
          <w:sz w:val="22"/>
        </w:rPr>
        <w:t xml:space="preserve">ordi. Così come altri strumenti per il sostegno al reddito, come le prestazioni sanitarie e i </w:t>
      </w:r>
      <w:proofErr w:type="spellStart"/>
      <w:r w:rsidR="00B53897" w:rsidRPr="006A5A6E">
        <w:rPr>
          <w:sz w:val="22"/>
        </w:rPr>
        <w:t>flexible</w:t>
      </w:r>
      <w:proofErr w:type="spellEnd"/>
      <w:r w:rsidR="00B53897" w:rsidRPr="006A5A6E">
        <w:rPr>
          <w:sz w:val="22"/>
        </w:rPr>
        <w:t xml:space="preserve"> benefit per 800 euro netti</w:t>
      </w:r>
      <w:r w:rsidR="00A70FB2">
        <w:rPr>
          <w:sz w:val="22"/>
        </w:rPr>
        <w:t>. S</w:t>
      </w:r>
      <w:r w:rsidR="00B53897" w:rsidRPr="006A5A6E">
        <w:rPr>
          <w:sz w:val="22"/>
        </w:rPr>
        <w:t>enza considerare quanto è stato fatto a livello aziendale, che ha portato ulteriori riconoscimenti</w:t>
      </w:r>
      <w:r w:rsidR="006A5A6E">
        <w:rPr>
          <w:sz w:val="22"/>
        </w:rPr>
        <w:t>.</w:t>
      </w:r>
    </w:p>
    <w:p w14:paraId="55BB4A80" w14:textId="77777777" w:rsidR="00B53897" w:rsidRDefault="00B53897" w:rsidP="00937662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4760A065" w14:textId="35D8B560" w:rsidR="005513E9" w:rsidRPr="002C0F53" w:rsidRDefault="008C48C2" w:rsidP="005513E9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  <w:r>
        <w:rPr>
          <w:i/>
          <w:iCs/>
          <w:sz w:val="22"/>
        </w:rPr>
        <w:t>«Federmeccanica ha dimostrato, con i fatti, di essere sempre stata propositiva per ricercare soluzioni che dessero risposte concrete alle persone e che fossero compatibili per tutte le imprese favorendone la competitivit</w:t>
      </w:r>
      <w:r w:rsidR="00E77636">
        <w:rPr>
          <w:i/>
          <w:iCs/>
          <w:sz w:val="22"/>
        </w:rPr>
        <w:t xml:space="preserve">à. </w:t>
      </w:r>
      <w:r w:rsidR="005513E9">
        <w:rPr>
          <w:i/>
          <w:iCs/>
          <w:sz w:val="22"/>
        </w:rPr>
        <w:t xml:space="preserve">L’auspicio è che nel Sindacato maturi la volontà di passare dalla fase conflittuale ad un dialogo </w:t>
      </w:r>
      <w:r w:rsidR="005513E9">
        <w:rPr>
          <w:i/>
          <w:iCs/>
          <w:sz w:val="22"/>
        </w:rPr>
        <w:lastRenderedPageBreak/>
        <w:t>fondato sull’osservanza delle regole e ancorato alla realt</w:t>
      </w:r>
      <w:r w:rsidR="002B2536">
        <w:rPr>
          <w:i/>
          <w:iCs/>
          <w:sz w:val="22"/>
        </w:rPr>
        <w:t xml:space="preserve">à. Pur nella consapevolezza che a giugno, </w:t>
      </w:r>
      <w:r w:rsidR="005513E9">
        <w:rPr>
          <w:i/>
          <w:iCs/>
          <w:sz w:val="22"/>
        </w:rPr>
        <w:t>anche in assenza di rinnovo, garantiremo il recupero dell’inflazione 2024 e 200 euro netti in welfare,</w:t>
      </w:r>
      <w:r w:rsidR="002B2536">
        <w:rPr>
          <w:i/>
          <w:iCs/>
          <w:sz w:val="22"/>
        </w:rPr>
        <w:t xml:space="preserve"> </w:t>
      </w:r>
      <w:r w:rsidR="005513E9">
        <w:rPr>
          <w:i/>
          <w:iCs/>
          <w:sz w:val="22"/>
        </w:rPr>
        <w:t xml:space="preserve">come Parti Sociali </w:t>
      </w:r>
      <w:r w:rsidR="005513E9" w:rsidRPr="002C0F53">
        <w:rPr>
          <w:i/>
          <w:iCs/>
          <w:sz w:val="22"/>
        </w:rPr>
        <w:t>abbiamo il dover</w:t>
      </w:r>
      <w:r w:rsidR="005513E9">
        <w:rPr>
          <w:i/>
          <w:iCs/>
          <w:sz w:val="22"/>
        </w:rPr>
        <w:t xml:space="preserve">e di </w:t>
      </w:r>
      <w:r w:rsidR="005513E9" w:rsidRPr="002C0F53">
        <w:rPr>
          <w:i/>
          <w:iCs/>
          <w:sz w:val="22"/>
        </w:rPr>
        <w:t>dare certezze e risposte concrete»</w:t>
      </w:r>
      <w:r w:rsidR="005513E9" w:rsidRPr="002C0F53">
        <w:rPr>
          <w:sz w:val="22"/>
        </w:rPr>
        <w:t xml:space="preserve">, conclude la </w:t>
      </w:r>
      <w:r w:rsidR="005513E9" w:rsidRPr="002C0F53">
        <w:rPr>
          <w:b/>
          <w:bCs/>
          <w:sz w:val="22"/>
        </w:rPr>
        <w:t>President</w:t>
      </w:r>
      <w:r w:rsidR="00E77636">
        <w:rPr>
          <w:b/>
          <w:bCs/>
          <w:sz w:val="22"/>
        </w:rPr>
        <w:t>e Miotto</w:t>
      </w:r>
      <w:r w:rsidR="00E77636" w:rsidRPr="00E77636">
        <w:rPr>
          <w:sz w:val="22"/>
        </w:rPr>
        <w:t>.</w:t>
      </w:r>
    </w:p>
    <w:p w14:paraId="60F6309C" w14:textId="77777777" w:rsidR="005513E9" w:rsidRDefault="005513E9" w:rsidP="005513E9">
      <w:pPr>
        <w:tabs>
          <w:tab w:val="left" w:pos="8364"/>
          <w:tab w:val="left" w:pos="9639"/>
        </w:tabs>
        <w:ind w:right="-1"/>
        <w:jc w:val="both"/>
        <w:rPr>
          <w:sz w:val="22"/>
        </w:rPr>
      </w:pPr>
    </w:p>
    <w:p w14:paraId="027A84A3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132179">
        <w:rPr>
          <w:bCs/>
          <w:i/>
          <w:iCs/>
          <w:sz w:val="22"/>
          <w:szCs w:val="22"/>
        </w:rPr>
        <w:t>_______________</w:t>
      </w:r>
    </w:p>
    <w:p w14:paraId="313F1AC3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5CF27180" w14:textId="77777777" w:rsidR="00056DEF" w:rsidRPr="00132179" w:rsidRDefault="00056DEF" w:rsidP="00056DEF">
      <w:pPr>
        <w:tabs>
          <w:tab w:val="left" w:pos="567"/>
          <w:tab w:val="left" w:pos="8364"/>
          <w:tab w:val="left" w:pos="9356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5BF910FE" w14:textId="77777777" w:rsidR="00056DEF" w:rsidRPr="00132179" w:rsidRDefault="00056DEF" w:rsidP="00056DEF">
      <w:pPr>
        <w:tabs>
          <w:tab w:val="left" w:pos="567"/>
          <w:tab w:val="left" w:pos="8364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EE54B1F" w14:textId="527FEBA0" w:rsidR="00056DEF" w:rsidRDefault="00056DEF" w:rsidP="00A0574C">
      <w:pPr>
        <w:tabs>
          <w:tab w:val="left" w:pos="567"/>
          <w:tab w:val="left" w:pos="8364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sz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l.canal@confindustriavenest.it </w:t>
      </w:r>
    </w:p>
    <w:sectPr w:rsidR="00056DEF" w:rsidSect="00E7763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C71"/>
    <w:multiLevelType w:val="hybridMultilevel"/>
    <w:tmpl w:val="ACD61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B221A"/>
    <w:multiLevelType w:val="hybridMultilevel"/>
    <w:tmpl w:val="F3DE3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0773">
    <w:abstractNumId w:val="1"/>
  </w:num>
  <w:num w:numId="2" w16cid:durableId="13769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3B"/>
    <w:rsid w:val="00002D68"/>
    <w:rsid w:val="000102E9"/>
    <w:rsid w:val="000471B4"/>
    <w:rsid w:val="0005161F"/>
    <w:rsid w:val="00056516"/>
    <w:rsid w:val="00056DEF"/>
    <w:rsid w:val="00063578"/>
    <w:rsid w:val="00076748"/>
    <w:rsid w:val="0008069F"/>
    <w:rsid w:val="000861F7"/>
    <w:rsid w:val="00090640"/>
    <w:rsid w:val="0009322F"/>
    <w:rsid w:val="000A3D30"/>
    <w:rsid w:val="000B48DE"/>
    <w:rsid w:val="000C6463"/>
    <w:rsid w:val="000D5D11"/>
    <w:rsid w:val="000F7C06"/>
    <w:rsid w:val="00106DFD"/>
    <w:rsid w:val="00107CE8"/>
    <w:rsid w:val="00124ADF"/>
    <w:rsid w:val="00141049"/>
    <w:rsid w:val="00142848"/>
    <w:rsid w:val="0014324D"/>
    <w:rsid w:val="00145220"/>
    <w:rsid w:val="0014787B"/>
    <w:rsid w:val="001652D5"/>
    <w:rsid w:val="00183367"/>
    <w:rsid w:val="00186FA3"/>
    <w:rsid w:val="00190713"/>
    <w:rsid w:val="00192BB5"/>
    <w:rsid w:val="001A0F20"/>
    <w:rsid w:val="001B14B9"/>
    <w:rsid w:val="001B1CC8"/>
    <w:rsid w:val="001B212C"/>
    <w:rsid w:val="001B5F17"/>
    <w:rsid w:val="001B7E5F"/>
    <w:rsid w:val="001C1312"/>
    <w:rsid w:val="001C5263"/>
    <w:rsid w:val="001D21D2"/>
    <w:rsid w:val="00206312"/>
    <w:rsid w:val="00211876"/>
    <w:rsid w:val="00213BC6"/>
    <w:rsid w:val="00214BC1"/>
    <w:rsid w:val="00223FB7"/>
    <w:rsid w:val="002474A8"/>
    <w:rsid w:val="00252CC7"/>
    <w:rsid w:val="002542E2"/>
    <w:rsid w:val="00256E7D"/>
    <w:rsid w:val="00263861"/>
    <w:rsid w:val="00292AE1"/>
    <w:rsid w:val="002B2536"/>
    <w:rsid w:val="002B3FA3"/>
    <w:rsid w:val="002B626F"/>
    <w:rsid w:val="002C0F53"/>
    <w:rsid w:val="002C1BA6"/>
    <w:rsid w:val="002C1C3F"/>
    <w:rsid w:val="002C2F3C"/>
    <w:rsid w:val="002D52DF"/>
    <w:rsid w:val="00315F93"/>
    <w:rsid w:val="0031740E"/>
    <w:rsid w:val="00342A53"/>
    <w:rsid w:val="00345622"/>
    <w:rsid w:val="0034598D"/>
    <w:rsid w:val="00363728"/>
    <w:rsid w:val="0037154D"/>
    <w:rsid w:val="00372740"/>
    <w:rsid w:val="00372B46"/>
    <w:rsid w:val="00374C9E"/>
    <w:rsid w:val="00377E71"/>
    <w:rsid w:val="00377EF2"/>
    <w:rsid w:val="003854D7"/>
    <w:rsid w:val="00394BA6"/>
    <w:rsid w:val="00397E89"/>
    <w:rsid w:val="003B388B"/>
    <w:rsid w:val="003C0EAB"/>
    <w:rsid w:val="003C4E07"/>
    <w:rsid w:val="003D1695"/>
    <w:rsid w:val="003D40E5"/>
    <w:rsid w:val="003D42D0"/>
    <w:rsid w:val="003E7987"/>
    <w:rsid w:val="003F7D09"/>
    <w:rsid w:val="004116E9"/>
    <w:rsid w:val="00415F04"/>
    <w:rsid w:val="00422ED5"/>
    <w:rsid w:val="0043296A"/>
    <w:rsid w:val="0044196A"/>
    <w:rsid w:val="00454FB2"/>
    <w:rsid w:val="00467FBD"/>
    <w:rsid w:val="00480736"/>
    <w:rsid w:val="004A5DAD"/>
    <w:rsid w:val="004B7008"/>
    <w:rsid w:val="004B7C90"/>
    <w:rsid w:val="004C0A17"/>
    <w:rsid w:val="004D5FB8"/>
    <w:rsid w:val="004E6005"/>
    <w:rsid w:val="004E6F3B"/>
    <w:rsid w:val="004F0C14"/>
    <w:rsid w:val="0050117A"/>
    <w:rsid w:val="005102D7"/>
    <w:rsid w:val="0051100C"/>
    <w:rsid w:val="0052537A"/>
    <w:rsid w:val="00526D74"/>
    <w:rsid w:val="00537690"/>
    <w:rsid w:val="005403BB"/>
    <w:rsid w:val="005513E9"/>
    <w:rsid w:val="00554E2D"/>
    <w:rsid w:val="00554F4E"/>
    <w:rsid w:val="00561995"/>
    <w:rsid w:val="00567E77"/>
    <w:rsid w:val="00587ED7"/>
    <w:rsid w:val="005A1E5A"/>
    <w:rsid w:val="005D0A0A"/>
    <w:rsid w:val="005D2F4E"/>
    <w:rsid w:val="005F332E"/>
    <w:rsid w:val="00602BB0"/>
    <w:rsid w:val="00612593"/>
    <w:rsid w:val="00614A56"/>
    <w:rsid w:val="006414DE"/>
    <w:rsid w:val="00647D6D"/>
    <w:rsid w:val="0065701D"/>
    <w:rsid w:val="00663640"/>
    <w:rsid w:val="00673B1B"/>
    <w:rsid w:val="006A22FA"/>
    <w:rsid w:val="006A5A6E"/>
    <w:rsid w:val="006D14E5"/>
    <w:rsid w:val="006D59F0"/>
    <w:rsid w:val="006E5BC7"/>
    <w:rsid w:val="006E7F98"/>
    <w:rsid w:val="006F1DFE"/>
    <w:rsid w:val="006F6313"/>
    <w:rsid w:val="006F738B"/>
    <w:rsid w:val="00714838"/>
    <w:rsid w:val="007177C0"/>
    <w:rsid w:val="007465A2"/>
    <w:rsid w:val="007627C0"/>
    <w:rsid w:val="00762A62"/>
    <w:rsid w:val="00771F71"/>
    <w:rsid w:val="007728F6"/>
    <w:rsid w:val="00781E86"/>
    <w:rsid w:val="007A4A72"/>
    <w:rsid w:val="007A7B55"/>
    <w:rsid w:val="007B58BC"/>
    <w:rsid w:val="007B5DDD"/>
    <w:rsid w:val="007C5A7F"/>
    <w:rsid w:val="00814E99"/>
    <w:rsid w:val="008360AB"/>
    <w:rsid w:val="00841D26"/>
    <w:rsid w:val="00842363"/>
    <w:rsid w:val="00842E18"/>
    <w:rsid w:val="00853639"/>
    <w:rsid w:val="00860511"/>
    <w:rsid w:val="00861EDD"/>
    <w:rsid w:val="008652E7"/>
    <w:rsid w:val="008702C8"/>
    <w:rsid w:val="00884CA3"/>
    <w:rsid w:val="00894148"/>
    <w:rsid w:val="00894A56"/>
    <w:rsid w:val="008B689E"/>
    <w:rsid w:val="008C1820"/>
    <w:rsid w:val="008C48C2"/>
    <w:rsid w:val="008D24A6"/>
    <w:rsid w:val="008D31BA"/>
    <w:rsid w:val="008D7DB2"/>
    <w:rsid w:val="008E06E2"/>
    <w:rsid w:val="008E622A"/>
    <w:rsid w:val="00916401"/>
    <w:rsid w:val="0092048F"/>
    <w:rsid w:val="00936C24"/>
    <w:rsid w:val="00937662"/>
    <w:rsid w:val="009503D0"/>
    <w:rsid w:val="009630B0"/>
    <w:rsid w:val="0096462C"/>
    <w:rsid w:val="0096711C"/>
    <w:rsid w:val="00995170"/>
    <w:rsid w:val="009A4784"/>
    <w:rsid w:val="009A4F94"/>
    <w:rsid w:val="009A6AF2"/>
    <w:rsid w:val="009B76A4"/>
    <w:rsid w:val="009C5484"/>
    <w:rsid w:val="009D461B"/>
    <w:rsid w:val="009D6B41"/>
    <w:rsid w:val="009E06D1"/>
    <w:rsid w:val="009F19D7"/>
    <w:rsid w:val="009F2AAE"/>
    <w:rsid w:val="00A050D5"/>
    <w:rsid w:val="00A0574C"/>
    <w:rsid w:val="00A05BF5"/>
    <w:rsid w:val="00A15035"/>
    <w:rsid w:val="00A2374B"/>
    <w:rsid w:val="00A255A6"/>
    <w:rsid w:val="00A279E3"/>
    <w:rsid w:val="00A3002C"/>
    <w:rsid w:val="00A32535"/>
    <w:rsid w:val="00A47CEE"/>
    <w:rsid w:val="00A52BE4"/>
    <w:rsid w:val="00A64D0D"/>
    <w:rsid w:val="00A70FB2"/>
    <w:rsid w:val="00A7294C"/>
    <w:rsid w:val="00A74745"/>
    <w:rsid w:val="00A83816"/>
    <w:rsid w:val="00A83E57"/>
    <w:rsid w:val="00A8604A"/>
    <w:rsid w:val="00A8698D"/>
    <w:rsid w:val="00A86E6D"/>
    <w:rsid w:val="00A95E6D"/>
    <w:rsid w:val="00A96619"/>
    <w:rsid w:val="00AA0423"/>
    <w:rsid w:val="00AB4D30"/>
    <w:rsid w:val="00AD2748"/>
    <w:rsid w:val="00AE22D8"/>
    <w:rsid w:val="00AE2786"/>
    <w:rsid w:val="00AE7845"/>
    <w:rsid w:val="00AE7C31"/>
    <w:rsid w:val="00AF2851"/>
    <w:rsid w:val="00B00188"/>
    <w:rsid w:val="00B0793D"/>
    <w:rsid w:val="00B12DEF"/>
    <w:rsid w:val="00B233D7"/>
    <w:rsid w:val="00B30FA3"/>
    <w:rsid w:val="00B322E1"/>
    <w:rsid w:val="00B32518"/>
    <w:rsid w:val="00B53897"/>
    <w:rsid w:val="00B6678B"/>
    <w:rsid w:val="00B86448"/>
    <w:rsid w:val="00B91386"/>
    <w:rsid w:val="00BB480B"/>
    <w:rsid w:val="00BC3834"/>
    <w:rsid w:val="00BC469F"/>
    <w:rsid w:val="00BD5C6A"/>
    <w:rsid w:val="00BE40DD"/>
    <w:rsid w:val="00BF2821"/>
    <w:rsid w:val="00BF5BC7"/>
    <w:rsid w:val="00BF769B"/>
    <w:rsid w:val="00C021C2"/>
    <w:rsid w:val="00C1459B"/>
    <w:rsid w:val="00C8467E"/>
    <w:rsid w:val="00CE3FEF"/>
    <w:rsid w:val="00CF5F03"/>
    <w:rsid w:val="00CF6A37"/>
    <w:rsid w:val="00D223EA"/>
    <w:rsid w:val="00D32A5A"/>
    <w:rsid w:val="00D32FE9"/>
    <w:rsid w:val="00D4424A"/>
    <w:rsid w:val="00D513B2"/>
    <w:rsid w:val="00D554A7"/>
    <w:rsid w:val="00D8117A"/>
    <w:rsid w:val="00DB2B7A"/>
    <w:rsid w:val="00DC4D6B"/>
    <w:rsid w:val="00DC50C3"/>
    <w:rsid w:val="00DE37F2"/>
    <w:rsid w:val="00DE5A0D"/>
    <w:rsid w:val="00DE5DC8"/>
    <w:rsid w:val="00DF0FA7"/>
    <w:rsid w:val="00DF4D63"/>
    <w:rsid w:val="00E10B0E"/>
    <w:rsid w:val="00E22727"/>
    <w:rsid w:val="00E41975"/>
    <w:rsid w:val="00E502E5"/>
    <w:rsid w:val="00E51D39"/>
    <w:rsid w:val="00E55323"/>
    <w:rsid w:val="00E60DC0"/>
    <w:rsid w:val="00E63155"/>
    <w:rsid w:val="00E67709"/>
    <w:rsid w:val="00E75983"/>
    <w:rsid w:val="00E77636"/>
    <w:rsid w:val="00EB2E37"/>
    <w:rsid w:val="00EB613B"/>
    <w:rsid w:val="00EB777B"/>
    <w:rsid w:val="00EC6939"/>
    <w:rsid w:val="00ED07DB"/>
    <w:rsid w:val="00ED1D8A"/>
    <w:rsid w:val="00ED652B"/>
    <w:rsid w:val="00F14B73"/>
    <w:rsid w:val="00F15263"/>
    <w:rsid w:val="00F2335E"/>
    <w:rsid w:val="00F24997"/>
    <w:rsid w:val="00F34A51"/>
    <w:rsid w:val="00F35C24"/>
    <w:rsid w:val="00F447F1"/>
    <w:rsid w:val="00F5110F"/>
    <w:rsid w:val="00F642A4"/>
    <w:rsid w:val="00F66C81"/>
    <w:rsid w:val="00F70401"/>
    <w:rsid w:val="00F7096A"/>
    <w:rsid w:val="00F763BD"/>
    <w:rsid w:val="00F94F7E"/>
    <w:rsid w:val="00FB12F8"/>
    <w:rsid w:val="00FE0B3B"/>
    <w:rsid w:val="00FE1063"/>
    <w:rsid w:val="00FE354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0ED4"/>
  <w15:docId w15:val="{02256A82-F546-472C-B185-CBB0ADA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1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B613B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EB613B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EB613B"/>
    <w:pPr>
      <w:ind w:left="539" w:right="64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EB61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C548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E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2971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D65A-5C46-432A-9738-89FCEBE7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7</cp:revision>
  <cp:lastPrinted>2025-04-11T09:07:00Z</cp:lastPrinted>
  <dcterms:created xsi:type="dcterms:W3CDTF">2025-04-11T08:18:00Z</dcterms:created>
  <dcterms:modified xsi:type="dcterms:W3CDTF">2025-04-11T10:01:00Z</dcterms:modified>
</cp:coreProperties>
</file>